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9" w:rsidRDefault="00FB38A9" w:rsidP="000F1088">
      <w:pPr>
        <w:suppressAutoHyphens/>
        <w:rPr>
          <w:rFonts w:ascii="Times New Roman" w:hAnsi="Times New Roman" w:cs="Times New Roman"/>
          <w:sz w:val="8"/>
          <w:szCs w:val="8"/>
          <w:lang w:val="en-US"/>
        </w:rPr>
      </w:pPr>
      <w:bookmarkStart w:id="0" w:name="_GoBack"/>
      <w:bookmarkEnd w:id="0"/>
    </w:p>
    <w:p w:rsidR="00E76201" w:rsidRDefault="00C31A7F" w:rsidP="000F1088">
      <w:pPr>
        <w:suppressAutoHyphens/>
        <w:jc w:val="center"/>
        <w:rPr>
          <w:rFonts w:ascii="Times New Roman" w:hAnsi="Times New Roman" w:cs="Times New Roman"/>
          <w:sz w:val="8"/>
          <w:szCs w:val="8"/>
          <w:lang w:val="en-US"/>
        </w:rPr>
      </w:pPr>
      <w:r>
        <w:rPr>
          <w:noProof/>
        </w:rPr>
        <w:drawing>
          <wp:inline distT="0" distB="0" distL="0" distR="0">
            <wp:extent cx="7810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61" w:rsidRPr="007E59C1" w:rsidRDefault="009340E4" w:rsidP="000F1088">
      <w:pPr>
        <w:pStyle w:val="2"/>
        <w:spacing w:after="60"/>
        <w:ind w:left="0"/>
        <w:rPr>
          <w:rFonts w:ascii="Times New Roman" w:hAnsi="Times New Roman" w:cs="Times New Roman"/>
          <w:sz w:val="44"/>
          <w:szCs w:val="44"/>
        </w:rPr>
      </w:pPr>
      <w:proofErr w:type="gramStart"/>
      <w:r w:rsidRPr="007E59C1">
        <w:rPr>
          <w:rFonts w:ascii="Times New Roman" w:hAnsi="Times New Roman" w:cs="Times New Roman"/>
          <w:sz w:val="44"/>
          <w:szCs w:val="44"/>
        </w:rPr>
        <w:t>З</w:t>
      </w:r>
      <w:proofErr w:type="gramEnd"/>
      <w:r w:rsidRPr="007E59C1">
        <w:rPr>
          <w:rFonts w:ascii="Times New Roman" w:hAnsi="Times New Roman" w:cs="Times New Roman"/>
          <w:sz w:val="44"/>
          <w:szCs w:val="44"/>
        </w:rPr>
        <w:t xml:space="preserve"> А К О Н</w:t>
      </w:r>
    </w:p>
    <w:p w:rsidR="00E76201" w:rsidRPr="007E59C1" w:rsidRDefault="009340E4" w:rsidP="000F1088">
      <w:pPr>
        <w:pStyle w:val="2"/>
        <w:spacing w:before="0"/>
        <w:ind w:left="0"/>
        <w:rPr>
          <w:rFonts w:ascii="Times New Roman" w:hAnsi="Times New Roman" w:cs="Times New Roman"/>
          <w:sz w:val="40"/>
          <w:szCs w:val="40"/>
        </w:rPr>
      </w:pPr>
      <w:r w:rsidRPr="007E59C1">
        <w:rPr>
          <w:rFonts w:ascii="Times New Roman" w:hAnsi="Times New Roman" w:cs="Times New Roman"/>
          <w:sz w:val="40"/>
          <w:szCs w:val="40"/>
        </w:rPr>
        <w:t>ИРКУТСКОЙ ОБЛАСТИ</w:t>
      </w:r>
    </w:p>
    <w:p w:rsidR="00E25482" w:rsidRPr="00F24735" w:rsidRDefault="00E25482" w:rsidP="000F1088"/>
    <w:p w:rsidR="00286715" w:rsidRPr="0048002E" w:rsidRDefault="00286715" w:rsidP="00286715">
      <w:pPr>
        <w:jc w:val="center"/>
        <w:rPr>
          <w:sz w:val="28"/>
          <w:szCs w:val="28"/>
        </w:rPr>
      </w:pPr>
      <w:r w:rsidRPr="0048002E">
        <w:rPr>
          <w:sz w:val="28"/>
          <w:szCs w:val="28"/>
        </w:rPr>
        <w:t>ОБ ОТДЕЛЬНЫХ ВОПРОСАХ РЕАЛИЗАЦИИ НА ТЕРРИТОРИИ</w:t>
      </w:r>
    </w:p>
    <w:p w:rsidR="00286715" w:rsidRPr="0048002E" w:rsidRDefault="00286715" w:rsidP="00286715">
      <w:pPr>
        <w:jc w:val="center"/>
        <w:rPr>
          <w:sz w:val="28"/>
          <w:szCs w:val="28"/>
        </w:rPr>
      </w:pPr>
      <w:r w:rsidRPr="0048002E">
        <w:rPr>
          <w:sz w:val="28"/>
          <w:szCs w:val="28"/>
        </w:rPr>
        <w:t>ИРКУТСКОЙ ОБЛАСТИ ИНИЦИАТИВНЫХ ПРОЕКТОВ</w:t>
      </w:r>
    </w:p>
    <w:p w:rsidR="00286715" w:rsidRPr="0048002E" w:rsidRDefault="00286715" w:rsidP="00286715">
      <w:pPr>
        <w:jc w:val="center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1. Предмет регулирования настоящего Закона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1. </w:t>
      </w:r>
      <w:proofErr w:type="gramStart"/>
      <w:r w:rsidRPr="0048002E">
        <w:rPr>
          <w:sz w:val="28"/>
          <w:szCs w:val="28"/>
        </w:rPr>
        <w:t>Настоящий Закон в соответствии со статьями 26.1, 56.1 Федерального закона от 6 октября 2003 года № 131-ФЗ «Об общих принципах организации местного самоуправления в Российской Федерации» регулирует отдельные вопросы реализации на территории Иркутской области инициативных проектов, выдвигаемых для получения финансовой поддержки за счет межбюджетных трансфертов из бюджета Иркутской области (далее соответственно – инициативный проект, областной бюджет).</w:t>
      </w:r>
      <w:proofErr w:type="gramEnd"/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2. Содержащиеся в настоящем Законе понятия и термины используются в значениях, определенных Федеральным законом от 6 октября</w:t>
      </w:r>
      <w:r>
        <w:rPr>
          <w:sz w:val="28"/>
          <w:szCs w:val="28"/>
        </w:rPr>
        <w:t xml:space="preserve">   </w:t>
      </w:r>
      <w:r w:rsidRPr="0048002E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left="1985" w:hanging="1276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2. Выдвижение, внесение и обсуждение инициативных проектов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1. Выдвижение, внесение и обсуждение инициативных проектов осуществляются в порядке, установленном нормативным правовым актом представительного органа муниципального образования Иркутской области (далее – муниципальное образование) в соответствии с Федеральным </w:t>
      </w:r>
      <w:hyperlink r:id="rId8" w:history="1">
        <w:r w:rsidRPr="0048002E">
          <w:rPr>
            <w:sz w:val="28"/>
            <w:szCs w:val="28"/>
          </w:rPr>
          <w:t>законом</w:t>
        </w:r>
      </w:hyperlink>
      <w:r w:rsidRPr="0048002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2. Нормативным правовым актом Правительства Иркутской области могут быть определены приоритетные направления реализации инициативных проектов.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3. Срок реализации инициативного проекта не может превышать один год.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left="1985" w:hanging="1276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3. Требования к составу сведений, которые должны содержать инициативные проекты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Инициативный проект должен содержать следующие сведения: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2) обоснование предложений по решению указанной проблемы;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5) планируемые сроки реализации инициативного проекта;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проекта, в том числе о планируемом объеме инициативных платежей;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7)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8) иные сведения, предусмотренные нормативным правовым актом Правительства Иркутской области.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left="2127" w:hanging="1418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4. Рассмотрение инициативных проектов муниципальными конкурсными комиссиями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Для рассмотрения инициативных проектов местными администрациями муниципальных районов, муниципальных округов и городских округов формируются муниципальные конкурсные комиссии.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Порядок формирования и деятельности муниципальной конкурсной комиссии определяется нормативным правовым актом представительного органа муниципального образования в соответствии с типовым </w:t>
      </w:r>
      <w:hyperlink r:id="rId9" w:history="1">
        <w:r w:rsidRPr="0048002E">
          <w:rPr>
            <w:sz w:val="28"/>
            <w:szCs w:val="28"/>
          </w:rPr>
          <w:t>положением</w:t>
        </w:r>
      </w:hyperlink>
      <w:r w:rsidRPr="0048002E">
        <w:rPr>
          <w:sz w:val="28"/>
          <w:szCs w:val="28"/>
        </w:rPr>
        <w:t xml:space="preserve"> о муниципальной конкурсной комиссии, утвержденным правовым актом Правительства Иркутской области.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Состав муниципальной конкурсной комиссии утверждается местными администрациями муниципальн</w:t>
      </w:r>
      <w:r>
        <w:rPr>
          <w:sz w:val="28"/>
          <w:szCs w:val="28"/>
        </w:rPr>
        <w:t>ых</w:t>
      </w:r>
      <w:r w:rsidRPr="004800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48002E">
        <w:rPr>
          <w:sz w:val="28"/>
          <w:szCs w:val="28"/>
        </w:rPr>
        <w:t>, муниципальн</w:t>
      </w:r>
      <w:r>
        <w:rPr>
          <w:sz w:val="28"/>
          <w:szCs w:val="28"/>
        </w:rPr>
        <w:t>ых</w:t>
      </w:r>
      <w:r w:rsidRPr="0048002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48002E">
        <w:rPr>
          <w:sz w:val="28"/>
          <w:szCs w:val="28"/>
        </w:rPr>
        <w:t xml:space="preserve"> и городск</w:t>
      </w:r>
      <w:r>
        <w:rPr>
          <w:sz w:val="28"/>
          <w:szCs w:val="28"/>
        </w:rPr>
        <w:t>их</w:t>
      </w:r>
      <w:r w:rsidRPr="0048002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48002E">
        <w:rPr>
          <w:sz w:val="28"/>
          <w:szCs w:val="28"/>
        </w:rPr>
        <w:t>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2. Муниципальная конкурсная комиссия рассматривает и отбирает инициативные проекты в соответствии с </w:t>
      </w:r>
      <w:hyperlink r:id="rId10" w:history="1">
        <w:r w:rsidRPr="0048002E">
          <w:rPr>
            <w:sz w:val="28"/>
            <w:szCs w:val="28"/>
          </w:rPr>
          <w:t>порядком</w:t>
        </w:r>
      </w:hyperlink>
      <w:r w:rsidRPr="0048002E">
        <w:rPr>
          <w:sz w:val="28"/>
          <w:szCs w:val="28"/>
        </w:rPr>
        <w:t xml:space="preserve"> проведения конкурсного отбора, утверждаемым Правительством Иркутской области, и с учетом критериев, предусмотренных частью 2 статьи </w:t>
      </w:r>
      <w:hyperlink w:anchor="P79" w:history="1">
        <w:r w:rsidRPr="0048002E">
          <w:rPr>
            <w:sz w:val="28"/>
            <w:szCs w:val="28"/>
          </w:rPr>
          <w:t>5</w:t>
        </w:r>
      </w:hyperlink>
      <w:r w:rsidRPr="0048002E">
        <w:rPr>
          <w:sz w:val="28"/>
          <w:szCs w:val="28"/>
        </w:rPr>
        <w:t xml:space="preserve"> настоящего Закона.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5. Проведение конкурсного отбора инициативных проектов межведомственной комиссией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Местные администрации муниципальных районов, муниципальных округов и городских округов направляют отобранные инициативные проекты в исполнительный орган государственной власти Иркутской области, уполномоченный на организацию проведения конкурсного отбора инициативных проектов.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lastRenderedPageBreak/>
        <w:t>Конкурсный отбор инициативных проектов проводится межведомственной комиссией по проведению конкурсного отбора инициативных проектов (далее – межведомственная комиссия).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В состав межведомственной комиссии входят представители исполнительных органов государственной власти Иркутской области, депутаты Законодательного Собрания Иркутской области, представители общественных объединений и иных органов, организаций. 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Персональный состав межведомственной комиссии и порядок организации ее деятельности утверждаются правовым актом Правительства Иркутской области. 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bookmarkStart w:id="1" w:name="P79"/>
      <w:bookmarkEnd w:id="1"/>
      <w:r w:rsidRPr="0048002E">
        <w:rPr>
          <w:sz w:val="28"/>
          <w:szCs w:val="28"/>
        </w:rPr>
        <w:t>2. Межведомственная комиссия осуществляет конкурсный отбор инициативных проектов с учетом следующих критериев: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1) актуальность и социальная значимость инициативного проекта;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2) 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участия;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3) степень участия населения в определении проблемы, на решение которой направлен инициативный проект, в том числе: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количество жителей, участвующих в определении проблемы и подготовке инициативного проекта, согласно протоколу схода, собрания или конференции граждан, результатам опроса граждан и (или) подписным листам, подтверждающим поддержку инициативного проекта жителями муниципального образования или его части;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наличие протокола схода, собрания или конференции граждан, результатов опроса граждан и (или) подписных листов, подтверждающих поддержку инициативного проекта жителями муниципального образования или его части;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4) социальная эффективность от реализации инициативного проекта, в том числе удельный вес населения – </w:t>
      </w:r>
      <w:proofErr w:type="spellStart"/>
      <w:r w:rsidRPr="0048002E">
        <w:rPr>
          <w:sz w:val="28"/>
          <w:szCs w:val="28"/>
        </w:rPr>
        <w:t>благополучателей</w:t>
      </w:r>
      <w:proofErr w:type="spellEnd"/>
      <w:r w:rsidRPr="0048002E">
        <w:rPr>
          <w:sz w:val="28"/>
          <w:szCs w:val="28"/>
        </w:rPr>
        <w:t xml:space="preserve"> (в процентах от общего числа жителей муниципального образования);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5) наличие права собственности муниципального образования на объекты (включая земельные участки, на которых расположены такие объекты или планируется их размещение), строительство, реконструкцию, капитальный или текущий ремонт которых планируется осуществить в рамках инициативного проекта.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3. По результатам рассмотрения инициативного проекта межведомственная комиссия принимает одно из следующих решений: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1) поддержать инициативный проект;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4. Порядок проведения конкурсного отбора инициативных проектов в части, не урегулированной настоящим Законом, определяется Правительством Иркутской области.</w:t>
      </w:r>
    </w:p>
    <w:p w:rsidR="00286715" w:rsidRPr="0048002E" w:rsidRDefault="00286715" w:rsidP="00286715">
      <w:pPr>
        <w:ind w:left="2127" w:hanging="1418"/>
        <w:jc w:val="both"/>
        <w:rPr>
          <w:sz w:val="28"/>
          <w:szCs w:val="28"/>
        </w:rPr>
      </w:pPr>
      <w:r w:rsidRPr="0048002E">
        <w:rPr>
          <w:sz w:val="28"/>
          <w:szCs w:val="28"/>
        </w:rPr>
        <w:lastRenderedPageBreak/>
        <w:t>Статья 6. Финансовая поддержка инициативных проектов за счет средств областного бюджета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В законе об областном бюджете на очередной финансовый год и на плановый период ежегодно предусматриваются межбюджетные трансферты бюджетам муниципальных образований на финансовую поддержку реализации инициативных проектов в целях финансового обеспечения соответствующих расходных обязательств муниципальных образований.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Финансовая поддержка реализации инициативных проектов за счет средств областного бюджета предоставляется при условии включения в состав </w:t>
      </w:r>
      <w:proofErr w:type="gramStart"/>
      <w:r w:rsidRPr="0048002E">
        <w:rPr>
          <w:sz w:val="28"/>
          <w:szCs w:val="28"/>
        </w:rPr>
        <w:t>источников финансового обеспечения реализации инициативного проекта инициативных платежей</w:t>
      </w:r>
      <w:proofErr w:type="gramEnd"/>
      <w:r w:rsidRPr="0048002E">
        <w:rPr>
          <w:sz w:val="28"/>
          <w:szCs w:val="28"/>
        </w:rPr>
        <w:t>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Минимальная доля инициативных платежей должна составлять не менее 10 процентов от общей суммы реализации инициативного проекта.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2. Межбюджетные трансферты из областного бюджета на финансовую поддержку реализации инициативных проектов предоставляются в форме субсидий местным бюджетам.</w:t>
      </w:r>
    </w:p>
    <w:p w:rsidR="00286715" w:rsidRPr="0048002E" w:rsidRDefault="00286715" w:rsidP="00286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2E">
        <w:rPr>
          <w:rFonts w:ascii="Times New Roman" w:hAnsi="Times New Roman" w:cs="Times New Roman"/>
          <w:sz w:val="28"/>
          <w:szCs w:val="28"/>
        </w:rPr>
        <w:t>Предельный размер субсидии местному бюджету, предоставляемой из областного бюджета на реализацию одного инициативного проекта, не может превышать двух миллионов рублей.</w:t>
      </w:r>
    </w:p>
    <w:p w:rsidR="00286715" w:rsidRPr="0048002E" w:rsidRDefault="00286715" w:rsidP="00286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2E">
        <w:rPr>
          <w:rFonts w:ascii="Times New Roman" w:hAnsi="Times New Roman" w:cs="Times New Roman"/>
          <w:sz w:val="28"/>
          <w:szCs w:val="28"/>
        </w:rPr>
        <w:t xml:space="preserve">Доля финансирования реализации инициативного проекта из местного бюджета </w:t>
      </w:r>
      <w:proofErr w:type="gramStart"/>
      <w:r w:rsidRPr="0048002E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Pr="0048002E">
        <w:rPr>
          <w:rFonts w:ascii="Times New Roman" w:hAnsi="Times New Roman" w:cs="Times New Roman"/>
          <w:sz w:val="28"/>
          <w:szCs w:val="28"/>
        </w:rPr>
        <w:t xml:space="preserve"> в том числе за счет инициативных платежей.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3. Порядок предоставления и распределения субсидий на финансовую поддержку реализации инициативных проектов устанавливается нормативным правовым актом Правительства Иркутской области.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7. Порядок вступления в силу настоящего Закона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Настоящий Закон вступает в силу через десять календарных дней после дня его официального опубликования, за исключением статьи 6 настоящего Закона.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2. Статья 6 настоящего Закона вступает в силу с 1 января 2023 года и применяется к правоотношениям, возникающим при составлении и исполнении областного бюджета, начиная с бюджета на 2023 год и на плановый период 2024 и 2025 годов.</w:t>
      </w:r>
    </w:p>
    <w:p w:rsidR="00286715" w:rsidRPr="0048002E" w:rsidRDefault="00286715" w:rsidP="00286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715" w:rsidRPr="0048002E" w:rsidRDefault="00286715" w:rsidP="00286715">
      <w:pPr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Губернатор Иркутской области                             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48002E">
        <w:rPr>
          <w:sz w:val="28"/>
          <w:szCs w:val="28"/>
        </w:rPr>
        <w:t xml:space="preserve">                          И.И. Кобзев</w:t>
      </w:r>
    </w:p>
    <w:p w:rsidR="00286715" w:rsidRPr="0048002E" w:rsidRDefault="00286715" w:rsidP="00286715">
      <w:pPr>
        <w:jc w:val="both"/>
        <w:rPr>
          <w:sz w:val="28"/>
          <w:szCs w:val="28"/>
        </w:rPr>
      </w:pPr>
    </w:p>
    <w:p w:rsidR="00286715" w:rsidRPr="0048002E" w:rsidRDefault="00286715" w:rsidP="00286715">
      <w:pPr>
        <w:jc w:val="both"/>
        <w:rPr>
          <w:sz w:val="28"/>
          <w:szCs w:val="28"/>
        </w:rPr>
      </w:pPr>
      <w:r w:rsidRPr="0048002E">
        <w:rPr>
          <w:sz w:val="28"/>
          <w:szCs w:val="28"/>
        </w:rPr>
        <w:t>г. Иркутск</w:t>
      </w:r>
    </w:p>
    <w:p w:rsidR="00E25482" w:rsidRPr="00286715" w:rsidRDefault="00286715" w:rsidP="000F1088">
      <w:pPr>
        <w:rPr>
          <w:rFonts w:ascii="Times New Roman" w:hAnsi="Times New Roman" w:cs="Times New Roman"/>
          <w:sz w:val="28"/>
          <w:szCs w:val="28"/>
        </w:rPr>
      </w:pPr>
      <w:r w:rsidRPr="00286715">
        <w:rPr>
          <w:rFonts w:ascii="Times New Roman" w:hAnsi="Times New Roman" w:cs="Times New Roman"/>
          <w:sz w:val="28"/>
          <w:szCs w:val="28"/>
        </w:rPr>
        <w:t>«6» мая 2022 года</w:t>
      </w:r>
    </w:p>
    <w:p w:rsidR="00286715" w:rsidRPr="00286715" w:rsidRDefault="00286715" w:rsidP="000F1088">
      <w:pPr>
        <w:rPr>
          <w:rFonts w:ascii="Times New Roman" w:hAnsi="Times New Roman" w:cs="Times New Roman"/>
          <w:sz w:val="28"/>
          <w:szCs w:val="28"/>
        </w:rPr>
      </w:pPr>
      <w:r w:rsidRPr="00286715">
        <w:rPr>
          <w:rFonts w:ascii="Times New Roman" w:hAnsi="Times New Roman" w:cs="Times New Roman"/>
          <w:sz w:val="28"/>
          <w:szCs w:val="28"/>
        </w:rPr>
        <w:t>№ 33-ОЗ</w:t>
      </w:r>
    </w:p>
    <w:sectPr w:rsidR="00286715" w:rsidRPr="00286715" w:rsidSect="00F24735">
      <w:type w:val="continuous"/>
      <w:pgSz w:w="11907" w:h="16840" w:code="9"/>
      <w:pgMar w:top="1134" w:right="567" w:bottom="1134" w:left="1701" w:header="357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88" w:rsidRDefault="00200288">
      <w:r>
        <w:separator/>
      </w:r>
    </w:p>
  </w:endnote>
  <w:endnote w:type="continuationSeparator" w:id="0">
    <w:p w:rsidR="00200288" w:rsidRDefault="0020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88" w:rsidRDefault="00200288">
      <w:r>
        <w:separator/>
      </w:r>
    </w:p>
  </w:footnote>
  <w:footnote w:type="continuationSeparator" w:id="0">
    <w:p w:rsidR="00200288" w:rsidRDefault="0020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3"/>
  <w:hyphenationZone w:val="142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Iaeiaiiaaiea" w:val="VARCHAR#????? ????????? ???????"/>
    <w:docVar w:name="attr1#Aea aieoiaioa" w:val="OID_TYPE#333333008=????? ????????? ???????"/>
    <w:docVar w:name="attr2#IEOAu" w:val="OID_TYPE#0="/>
    <w:docVar w:name="attr3#Iiia? aeaiea" w:val="VARCHAR#"/>
    <w:docVar w:name="BossProviderVariable" w:val="25_01_2006!a3e20890-e34c-4f87-b8fc-6fc43955d02e"/>
    <w:docVar w:name="SPD_Annotation" w:val="????? ????????? ???????"/>
    <w:docVar w:name="SPD_AreaName" w:val="??????"/>
    <w:docVar w:name="SPD_hostURL" w:val="kodeks"/>
    <w:docVar w:name="SPD_NumDoc" w:val="620217399"/>
    <w:docVar w:name="SPD_vDir" w:val="spd"/>
  </w:docVars>
  <w:rsids>
    <w:rsidRoot w:val="00286715"/>
    <w:rsid w:val="000C41BF"/>
    <w:rsid w:val="000E7863"/>
    <w:rsid w:val="000F1088"/>
    <w:rsid w:val="001372C0"/>
    <w:rsid w:val="00141261"/>
    <w:rsid w:val="00162E4B"/>
    <w:rsid w:val="001C277E"/>
    <w:rsid w:val="001D5449"/>
    <w:rsid w:val="001E5B6F"/>
    <w:rsid w:val="001F0B57"/>
    <w:rsid w:val="001F284A"/>
    <w:rsid w:val="00200288"/>
    <w:rsid w:val="00286715"/>
    <w:rsid w:val="002B4219"/>
    <w:rsid w:val="002E7748"/>
    <w:rsid w:val="00307483"/>
    <w:rsid w:val="00317D59"/>
    <w:rsid w:val="00353EEB"/>
    <w:rsid w:val="004772EA"/>
    <w:rsid w:val="004A0891"/>
    <w:rsid w:val="004D6932"/>
    <w:rsid w:val="0051239F"/>
    <w:rsid w:val="005D3FDD"/>
    <w:rsid w:val="00610CFD"/>
    <w:rsid w:val="00611D5D"/>
    <w:rsid w:val="00716408"/>
    <w:rsid w:val="0074155E"/>
    <w:rsid w:val="00761ABF"/>
    <w:rsid w:val="007E59C1"/>
    <w:rsid w:val="00846ECC"/>
    <w:rsid w:val="008F546A"/>
    <w:rsid w:val="009340E4"/>
    <w:rsid w:val="00967ECA"/>
    <w:rsid w:val="009F5054"/>
    <w:rsid w:val="00A361F6"/>
    <w:rsid w:val="00A56D07"/>
    <w:rsid w:val="00AD3561"/>
    <w:rsid w:val="00AE47B1"/>
    <w:rsid w:val="00B11F4C"/>
    <w:rsid w:val="00B8663D"/>
    <w:rsid w:val="00B90C12"/>
    <w:rsid w:val="00C14246"/>
    <w:rsid w:val="00C31A7F"/>
    <w:rsid w:val="00D06FE4"/>
    <w:rsid w:val="00E25482"/>
    <w:rsid w:val="00E5781D"/>
    <w:rsid w:val="00E76201"/>
    <w:rsid w:val="00EA226C"/>
    <w:rsid w:val="00EB5A3C"/>
    <w:rsid w:val="00F0052A"/>
    <w:rsid w:val="00F23F33"/>
    <w:rsid w:val="00F24735"/>
    <w:rsid w:val="00F732E7"/>
    <w:rsid w:val="00FB2DCE"/>
    <w:rsid w:val="00FB38A9"/>
    <w:rsid w:val="00FE0DD9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 w:cs="Tms Rm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-1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ms Rmn" w:hAnsi="Tms Rmn" w:cs="Tms Rmn"/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ms Rmn" w:hAnsi="Tms Rmn" w:cs="Tms Rmn"/>
      <w:sz w:val="20"/>
      <w:szCs w:val="20"/>
    </w:rPr>
  </w:style>
  <w:style w:type="paragraph" w:styleId="a8">
    <w:name w:val="Block Text"/>
    <w:basedOn w:val="a"/>
    <w:uiPriority w:val="99"/>
    <w:pPr>
      <w:spacing w:line="240" w:lineRule="exact"/>
      <w:ind w:left="113" w:right="5216"/>
      <w:jc w:val="both"/>
    </w:pPr>
    <w:rPr>
      <w:sz w:val="28"/>
      <w:szCs w:val="28"/>
    </w:rPr>
  </w:style>
  <w:style w:type="paragraph" w:customStyle="1" w:styleId="a9">
    <w:name w:val="Знак"/>
    <w:basedOn w:val="a"/>
    <w:rsid w:val="00286715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86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86715"/>
    <w:pPr>
      <w:ind w:left="720"/>
      <w:contextualSpacing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54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 w:cs="Tms Rm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-1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ms Rmn" w:hAnsi="Tms Rmn" w:cs="Tms Rmn"/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ms Rmn" w:hAnsi="Tms Rmn" w:cs="Tms Rmn"/>
      <w:sz w:val="20"/>
      <w:szCs w:val="20"/>
    </w:rPr>
  </w:style>
  <w:style w:type="paragraph" w:styleId="a8">
    <w:name w:val="Block Text"/>
    <w:basedOn w:val="a"/>
    <w:uiPriority w:val="99"/>
    <w:pPr>
      <w:spacing w:line="240" w:lineRule="exact"/>
      <w:ind w:left="113" w:right="5216"/>
      <w:jc w:val="both"/>
    </w:pPr>
    <w:rPr>
      <w:sz w:val="28"/>
      <w:szCs w:val="28"/>
    </w:rPr>
  </w:style>
  <w:style w:type="paragraph" w:customStyle="1" w:styleId="a9">
    <w:name w:val="Знак"/>
    <w:basedOn w:val="a"/>
    <w:rsid w:val="00286715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86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86715"/>
    <w:pPr>
      <w:ind w:left="720"/>
      <w:contextualSpacing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54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72ADB3805452F1ABA005779847EBF9AD1D3C048B62CC55618B084E3E09CE8636D28FF13CE878593C7D86574LFq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72ADB3805452F1ABA1E5A6FE821BA98DA88C54AB522910945B6D3BCB09ABD312D76A6538B948490D9D96D76F0DC950159AA306B89FEF8981BD268LDq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72ADB3805452F1ABA1E5A6FE821BA98DA88C54AB522910945B6D3BCB09ABD312D76A6538B948490D9D96373F0DC950159AA306B89FEF8981BD268LDq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naumova\AppData\Local\Temp\bdttmp\3aeccec9-9477-4408-81f6-1a0cbd84e1f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3aeccec9-9477-4408-81f6-1a0cbd84e1fb</Template>
  <TotalTime>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губернатора</vt:lpstr>
    </vt:vector>
  </TitlesOfParts>
  <Company>Информационно-аналитический комитет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губернатора</dc:title>
  <dc:creator>Наталья Николаевна Наумова</dc:creator>
  <cp:lastModifiedBy>Альбина Юрьевна</cp:lastModifiedBy>
  <cp:revision>2</cp:revision>
  <cp:lastPrinted>2022-09-19T03:14:00Z</cp:lastPrinted>
  <dcterms:created xsi:type="dcterms:W3CDTF">2022-09-19T03:14:00Z</dcterms:created>
  <dcterms:modified xsi:type="dcterms:W3CDTF">2022-09-19T03:14:00Z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a3e20890-e34c-4f87-b8fc-6fc43955d02e</vt:lpwstr>
  </property>
</Properties>
</file>