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C7" w:rsidRPr="00EE26BA" w:rsidRDefault="000574C7" w:rsidP="00B04D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0574C7" w:rsidRPr="00EE26BA" w:rsidRDefault="000574C7" w:rsidP="00B0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0574C7" w:rsidRPr="00EE26BA" w:rsidRDefault="000574C7" w:rsidP="00B0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EE2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EE2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574C7" w:rsidRPr="00EE26BA" w:rsidRDefault="000574C7" w:rsidP="00B0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0574C7" w:rsidRPr="00EE26BA" w:rsidRDefault="000574C7" w:rsidP="00B04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6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574C7" w:rsidRPr="00EE26BA" w:rsidRDefault="000574C7" w:rsidP="00B04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74C7" w:rsidRPr="00EE26BA" w:rsidRDefault="000574C7" w:rsidP="00B04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C7" w:rsidRPr="00EE26BA" w:rsidRDefault="0038220A" w:rsidP="00B04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от 26 июля 2017 года № 197</w:t>
      </w:r>
      <w:r w:rsidR="000574C7" w:rsidRPr="00EE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0574C7" w:rsidRPr="00EE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0574C7" w:rsidRPr="00EE26B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0574C7" w:rsidRPr="00EE26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0574C7" w:rsidRPr="00EE26B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0574C7" w:rsidRPr="00EE26BA" w:rsidRDefault="000574C7" w:rsidP="00B04D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</w:pPr>
    </w:p>
    <w:p w:rsidR="000574C7" w:rsidRPr="00EE26BA" w:rsidRDefault="000574C7" w:rsidP="00B04D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</w:pPr>
    </w:p>
    <w:p w:rsidR="000574C7" w:rsidRPr="00EE26BA" w:rsidRDefault="000574C7" w:rsidP="00B04D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</w:pPr>
      <w:r w:rsidRPr="00EE26BA"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  <w:t xml:space="preserve">Об утверждении Положения о порядке назначения и проведения собраний и конференций (собраний делегатов) граждан </w:t>
      </w:r>
      <w:r w:rsidR="001731B9"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  <w:t>в</w:t>
      </w:r>
      <w:r w:rsidRPr="00EE26BA"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  <w:t xml:space="preserve"> муниципально</w:t>
      </w:r>
      <w:r w:rsidR="001731B9"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  <w:t>м</w:t>
      </w:r>
      <w:r w:rsidRPr="00EE26BA"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  <w:t xml:space="preserve"> образовани</w:t>
      </w:r>
      <w:r w:rsidR="001731B9"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  <w:t>и</w:t>
      </w:r>
      <w:r w:rsidRPr="00EE26BA"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  <w:t xml:space="preserve"> «</w:t>
      </w:r>
      <w:proofErr w:type="spellStart"/>
      <w:r w:rsidRPr="00EE26BA"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  <w:t>Эхирит-Булагатский</w:t>
      </w:r>
      <w:proofErr w:type="spellEnd"/>
      <w:r w:rsidRPr="00EE26BA"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  <w:t xml:space="preserve"> район</w:t>
      </w:r>
      <w:r w:rsidR="001731B9">
        <w:rPr>
          <w:rFonts w:ascii="Times New Roman" w:eastAsia="Times New Roman" w:hAnsi="Times New Roman" w:cs="Times New Roman"/>
          <w:b/>
          <w:bCs/>
          <w:spacing w:val="2"/>
          <w:kern w:val="36"/>
          <w:sz w:val="30"/>
          <w:szCs w:val="30"/>
          <w:lang w:eastAsia="ru-RU"/>
        </w:rPr>
        <w:t>»</w:t>
      </w:r>
    </w:p>
    <w:p w:rsidR="000574C7" w:rsidRDefault="000574C7" w:rsidP="00B04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</w:p>
    <w:p w:rsidR="00C750F5" w:rsidRPr="00EE26BA" w:rsidRDefault="00C750F5" w:rsidP="00B04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</w:p>
    <w:p w:rsidR="000574C7" w:rsidRPr="00EE26BA" w:rsidRDefault="000574C7" w:rsidP="00B04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EE26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 изменениями), </w:t>
      </w:r>
      <w:hyperlink r:id="rId8" w:history="1">
        <w:r w:rsidRPr="00EE26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Уставом муниципального образования </w:t>
        </w:r>
        <w:r w:rsidRPr="00EE26BA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«</w:t>
        </w:r>
        <w:proofErr w:type="spellStart"/>
        <w:r w:rsidRPr="00EE26BA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Эхирит-Булагатский</w:t>
        </w:r>
        <w:proofErr w:type="spellEnd"/>
        <w:r w:rsidRPr="00EE26BA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район», </w:t>
        </w:r>
      </w:hyperlink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E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</w:t>
      </w:r>
    </w:p>
    <w:p w:rsidR="00C750F5" w:rsidRDefault="000574C7" w:rsidP="00B04DB0">
      <w:pPr>
        <w:shd w:val="clear" w:color="auto" w:fill="FFFFFF"/>
        <w:tabs>
          <w:tab w:val="center" w:pos="4749"/>
          <w:tab w:val="left" w:pos="66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РЕШИЛА:</w:t>
      </w:r>
    </w:p>
    <w:p w:rsidR="000574C7" w:rsidRPr="00EE26BA" w:rsidRDefault="000574C7" w:rsidP="00B04DB0">
      <w:pPr>
        <w:shd w:val="clear" w:color="auto" w:fill="FFFFFF"/>
        <w:tabs>
          <w:tab w:val="center" w:pos="4749"/>
          <w:tab w:val="left" w:pos="66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574C7" w:rsidRPr="00EE26B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прилагаемое Положение о порядке назначения и проведения собраний и конференций (собраний делегатов) граждан</w:t>
      </w:r>
      <w:r w:rsidR="00173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</w:t>
      </w:r>
      <w:r w:rsidR="00173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</w:t>
      </w:r>
      <w:r w:rsidR="001731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</w:p>
    <w:p w:rsidR="000574C7" w:rsidRPr="00EE26BA" w:rsidRDefault="000574C7" w:rsidP="00B04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bookmarkStart w:id="0" w:name="sub_2"/>
      <w:r w:rsidRPr="00EE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"</w:t>
      </w:r>
      <w:proofErr w:type="spellStart"/>
      <w:r w:rsidRPr="00EE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EE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Вестник" </w:t>
      </w:r>
    </w:p>
    <w:bookmarkEnd w:id="0"/>
    <w:p w:rsidR="000574C7" w:rsidRPr="00EE26BA" w:rsidRDefault="000574C7" w:rsidP="00B04DB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9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E26B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0574C7" w:rsidRDefault="000574C7" w:rsidP="00B04DB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05207" w:rsidRDefault="00705207" w:rsidP="00B04DB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05207" w:rsidRDefault="00705207" w:rsidP="00B04DB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04DB0" w:rsidRDefault="00B04DB0" w:rsidP="00B04DB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574C7" w:rsidRPr="00EE26BA" w:rsidRDefault="000574C7" w:rsidP="00B04DB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0574C7" w:rsidRPr="00EE26BA" w:rsidRDefault="000574C7" w:rsidP="00B04DB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0574C7" w:rsidRPr="00EE26BA" w:rsidRDefault="000574C7" w:rsidP="00B04DB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0574C7" w:rsidRPr="00EE26BA" w:rsidRDefault="000574C7" w:rsidP="00B04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                                А.А. </w:t>
      </w:r>
      <w:proofErr w:type="spellStart"/>
      <w:r w:rsidRPr="00EE2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0574C7" w:rsidRPr="00EE26BA" w:rsidRDefault="000574C7" w:rsidP="00B04D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0574C7" w:rsidRPr="00EE26BA" w:rsidRDefault="000574C7" w:rsidP="00B04D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0574C7" w:rsidRPr="00EE26BA" w:rsidRDefault="000574C7" w:rsidP="00B04D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0574C7" w:rsidRDefault="000574C7" w:rsidP="00B04D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0574C7" w:rsidRDefault="000574C7" w:rsidP="00B04D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0574C7" w:rsidRDefault="000574C7" w:rsidP="00B04D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0574C7" w:rsidRDefault="000574C7" w:rsidP="00B04D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0574C7" w:rsidRDefault="000574C7" w:rsidP="00B04D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0574C7" w:rsidRPr="00EE26BA" w:rsidRDefault="000574C7" w:rsidP="00B04DB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0574C7" w:rsidRPr="00C750F5" w:rsidRDefault="000574C7" w:rsidP="00B04DB0">
      <w:pPr>
        <w:shd w:val="clear" w:color="auto" w:fill="FFFFFF"/>
        <w:tabs>
          <w:tab w:val="left" w:leader="underscore" w:pos="978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pacing w:val="-9"/>
          <w:sz w:val="27"/>
          <w:szCs w:val="27"/>
          <w:lang w:eastAsia="ru-RU"/>
        </w:rPr>
      </w:pPr>
      <w:r w:rsidRPr="00C750F5">
        <w:rPr>
          <w:rFonts w:ascii="Times New Roman" w:eastAsia="Times New Roman" w:hAnsi="Times New Roman" w:cs="Times New Roman"/>
          <w:b/>
          <w:spacing w:val="-9"/>
          <w:sz w:val="27"/>
          <w:szCs w:val="27"/>
          <w:lang w:eastAsia="ru-RU"/>
        </w:rPr>
        <w:lastRenderedPageBreak/>
        <w:t>УТВЕРЖДЕНО:</w:t>
      </w:r>
    </w:p>
    <w:p w:rsidR="000574C7" w:rsidRPr="00B04DB0" w:rsidRDefault="00B04DB0" w:rsidP="00B04DB0">
      <w:pPr>
        <w:shd w:val="clear" w:color="auto" w:fill="FFFFFF"/>
        <w:tabs>
          <w:tab w:val="left" w:leader="underscore" w:pos="9781"/>
        </w:tabs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20964735/entry/0" w:history="1">
        <w:r w:rsidR="000574C7" w:rsidRPr="0038220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0574C7" w:rsidRPr="0038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</w:t>
      </w:r>
      <w:r w:rsidR="000574C7" w:rsidRPr="003822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«</w:t>
      </w:r>
      <w:proofErr w:type="spellStart"/>
      <w:r w:rsidR="000574C7" w:rsidRPr="003822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Эхирит-Булагатский</w:t>
      </w:r>
      <w:proofErr w:type="spellEnd"/>
      <w:r w:rsidR="000574C7" w:rsidRPr="003822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</w:t>
      </w:r>
      <w:r w:rsidR="000574C7" w:rsidRPr="0038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8220A" w:rsidRPr="00B04DB0">
        <w:rPr>
          <w:rFonts w:ascii="Times New Roman" w:hAnsi="Times New Roman"/>
          <w:sz w:val="28"/>
          <w:szCs w:val="28"/>
        </w:rPr>
        <w:t>от 26 июля 2017 года № 197</w:t>
      </w:r>
      <w:bookmarkStart w:id="1" w:name="_GoBack"/>
      <w:bookmarkEnd w:id="1"/>
    </w:p>
    <w:p w:rsidR="000574C7" w:rsidRPr="00C750F5" w:rsidRDefault="000574C7" w:rsidP="00B04D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C750F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</w:p>
    <w:p w:rsidR="00C750F5" w:rsidRPr="00C750F5" w:rsidRDefault="00C750F5" w:rsidP="00B04D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0574C7" w:rsidRPr="0038220A" w:rsidRDefault="000574C7" w:rsidP="00B04D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о порядке назначения и проведения собраний и конференций</w:t>
      </w: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(собраний делегатов) граждан </w:t>
      </w:r>
      <w:r w:rsidR="001731B9"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</w:t>
      </w: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</w:t>
      </w:r>
      <w:r w:rsidR="001731B9"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образовани</w:t>
      </w:r>
      <w:r w:rsidR="001731B9"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«</w:t>
      </w:r>
      <w:proofErr w:type="spellStart"/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район»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FCD" w:rsidRPr="0038220A" w:rsidRDefault="000574C7" w:rsidP="00B04DB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5E3FCD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в соответствии с </w:t>
      </w:r>
      <w:hyperlink r:id="rId10" w:history="1">
        <w:r w:rsidRPr="0038220A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 изменениями), 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 и определяет организационные основы назначения и проведения собраний и конференций граждан по месту жительства в муниципальном образовании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(далее - 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район), полномочия собраний и конференций, а также устанавливает гарантии по осуществлению прав граждан на</w:t>
      </w:r>
      <w:proofErr w:type="gram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участие в решении вопросов местного значения.</w:t>
      </w:r>
      <w:r w:rsidR="005E3FCD" w:rsidRPr="003822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0574C7" w:rsidRPr="0038220A" w:rsidRDefault="005E3FCD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 Действие Положения не распространяется на собрания, конференции, проводимые в целях осуществления территориального общественного самоуправления.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5E3FCD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Собрание граждан (далее - собрание) - форма прямого волеизъявления населения 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Эхирит-Булагатского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совместное заседание граждан, проводимое на части</w:t>
      </w:r>
      <w:r w:rsidR="007A1971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территории района для обсуждения вопросов местного значения, информирования населения о деятельности органов и должностных лиц местного самоуправления 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Эхирит-Булагатского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Конференция граждан (собрание делегатов) (далее - конференция) - форма прямого волеизъявления населения 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Эхирит-Булагатского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совместное заседание представителей (делегатов) населения, избираемых в соответствии с настоящим Положением, проводимое на части</w:t>
      </w:r>
      <w:r w:rsidR="007A1971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территории района для обсуждения вопросов местного значения, информирования населения о деятельности органов и должностных лиц местного самоуправления 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Эхирит-Булагатского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Конференции граждан на части</w:t>
      </w:r>
      <w:r w:rsidR="007A1971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территории 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Эхирит-Булагатского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могут проводиться при численности проживающего на ней населения более 50 человек, имеющих право на участие в собрании, конференции и обладающих правом решающего голоса.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 представительства делегатов конференции составляет: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 делегат от 5 - 15 граждан при численности от 50 до 150 человек;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 делегат от 15 - 25 граждан при численности от 150 до 400 человек;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 делегат от 25 - 50 граждан при численности от 400 до 1500 человек;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 делегат от 50 - 100 граждан при численности свыше 1500 человек. </w:t>
      </w:r>
      <w:proofErr w:type="gramEnd"/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3FCD" w:rsidRPr="0038220A" w:rsidRDefault="000574C7" w:rsidP="00B04DB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Право граждан на участие в собрании, конференции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В работе собраний, конференций граждан принимают участие граждане, достигшие 16-летнего возраста, проживающие на территории, в пределах которой проводятся собрание, конференция.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этом граждане, проживающие на территории, в пределах которой проводится собрание, имеют право решающего голоса (далее - участники собрания). Другие граждане, не имеющие отношения к данной территории, могут участвовать в собрании с правом совещательного голоса.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Граждане, проживающие на территории, в пределах которой проводится конференция, и избранные в установленном порядке делегатами конференции, имеют право решающего голоса (далее - делегаты конференции).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Участие в собрании, конференции граждан является добровольным и свободным. Участники собрания и делегаты конференции участвуют в собрании, конференции лично и каждый из них обладает одним голосом.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Не участвуют в собрании, конференции: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граждане, признанные судом недееспособными;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граждане, содержащиеся в местах лишения свободы по приговору суда.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Запрещаются какие-либо прямые и косвенные ограничения прав граждан на участие в собрании, конференции в зависимости от происхождения, социального или имущественного положения, расовой или национальной принадлежности, пола, образования, языка, отношения к религии, политических и иных взглядов, рода и характера занятий.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Порядок назначения собрания, конференции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Собрание, конференция граждан созываются по инициативе населения, Думы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район», Мэра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Собрание, конференция граждан, проводимые по инициативе населения или Думы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район», назначаются Думой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Собрание, конференция граждан, проводимые по инициативе Мэра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район», назначаются Мэр</w:t>
      </w:r>
      <w:r w:rsidR="005E3FCD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С инициативой проведения собрания, конференции граждан от населения вправе выступить инициативная группа граждан - жителей 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Эхирит-Булагатского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имеющих право участвовать в собрании, 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конференции, численностью не менее 10 человек, собравшая в поддержку своей инициативы не менее 5 процентов подписей жителей территории, в пределах которой планируется проведение собрания, конференции.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Инициатива граждан о проведении собрания, конференции оформляется в виде письменного заявления инициативной группы и направляется в Думу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 </w:t>
      </w:r>
      <w:proofErr w:type="gram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заявлении указываются вопросы, выносимые на рассмотрение собрания, конференции, с обоснованием необходимости их обсуждения; ориентировочные сроки проведения; территория, на которой собрание, конференция должны проводиться; предполагаемое число участников собрания, делегатов конференции; фамилия, имя, отчество, паспортные данные, адрес места жительства членов инициативной группы; контактные телефоны уполномоченного представителя инициативной группы.</w:t>
      </w:r>
      <w:proofErr w:type="gramEnd"/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заявлению прилагаются подписные листы, которые должны содержать фамилию, имя, отчество гражданина, дату рождения, серию и номер паспорта или заменяющего его документа, адрес места жительства, подпись и дату ее внесения. Каждый подписной лист должен содержать цель сбора подписей и вопросы, выносимые на рассмотрение. </w:t>
      </w:r>
      <w:proofErr w:type="gram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Подписной лист заверяется лицом, осуществляющим сбор подписей, с указанием его фамилии, имени, отчества, серии и номера паспорта, адреса места жительства и даты подписания; фамилии, имени, отчества, серии и номера паспорта, адреса места жительства уполномоченного представителя инициативной группы по проведению собрания, конференции граждан и даты подписания (приложение N 1 к настоящему Положению).</w:t>
      </w:r>
      <w:proofErr w:type="gramEnd"/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Дума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на ближайшей сессии Думы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 участием уполномоченного представителя инициативной группы, указанного в заявлении о проведении собрания, конференции, рассматривает заявление инициативной группы, если оно поступило не позднее</w:t>
      </w:r>
      <w:r w:rsidR="0099577A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25 дней до начала сессии. При поступлении заявления после указанного срока его рассмотрение переносится на следующую сессию Думы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 Дума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принимает одно из следующих решений: о назначении собрания, конференции либо об отк</w:t>
      </w:r>
      <w:r w:rsidR="00BE6AC6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лонении </w:t>
      </w:r>
      <w:r w:rsidR="0099577A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инициативы </w:t>
      </w:r>
      <w:r w:rsidR="0099577A" w:rsidRPr="003822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проведении собрания, конференции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E6AC6" w:rsidRPr="0038220A" w:rsidRDefault="00BE6AC6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Инициатива о проведении собрания, конференции может быть отклонена в случае: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BE6AC6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</w:t>
      </w:r>
      <w:r w:rsidR="00634DD3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ия </w:t>
      </w:r>
      <w:r w:rsidR="00BE6AC6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</w:t>
      </w:r>
      <w:r w:rsidR="00634DD3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BE6AC6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E6AC6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применении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принуждения при сборе подписей, а также обнаружения фактов фальсификации в подписных листах (более чем 10 процентов от проверяемых подписей);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99577A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если, 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</w:t>
      </w:r>
      <w:r w:rsidR="001F7FD1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E6AC6" w:rsidRPr="0038220A" w:rsidRDefault="00BE6AC6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3) </w:t>
      </w:r>
      <w:r w:rsidR="0099577A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если, </w:t>
      </w:r>
      <w:r w:rsidRPr="003822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ранее по тому же вопросу (вопросам) и на той же территории проводились собрание, конференция и со дня проведения такого собрания, конференции прошло менее шести месяцев;</w:t>
      </w:r>
    </w:p>
    <w:p w:rsidR="000574C7" w:rsidRPr="0038220A" w:rsidRDefault="00BE6AC6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574C7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нарушения инициативной группой установленных настоящим Положением срока и порядка представления документов, необходимых для принятия решения о назначении собрания, конференции.</w:t>
      </w:r>
    </w:p>
    <w:p w:rsidR="00BE6AC6" w:rsidRPr="0038220A" w:rsidRDefault="00BE6AC6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</w:t>
      </w:r>
      <w:r w:rsidRPr="003822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принятия решения об отк</w:t>
      </w:r>
      <w:r w:rsidR="003E391F" w:rsidRPr="003822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лонении </w:t>
      </w:r>
      <w:r w:rsidRPr="003822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инициативы населения о проведении собрания, конференции Дума 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</w:t>
      </w:r>
      <w:r w:rsidRPr="003822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обязана уведомить инициаторов проведения собрания, конференции о принятом решении в течение пяти дней после принятия решения об отклонении инициативы населения.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BE6AC6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решении Думы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о назначении собрания, конференции граждан указываются предлагаемые для обсуждения вопросы; дата, время и территория, на которой будут проводиться собрание, конференция, в случае, если они проводятся на части</w:t>
      </w:r>
      <w:r w:rsidR="001F7FD1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F7FD1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 района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 предполагаемое число участников собрания, делегатов конференции; норма представительства для избрания делегатов конференции.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BE6AC6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Организация проведения собрания, конференции граждан по инициативе Думы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осуществляется Думой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Думы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о назначении собрания, конференции граждан по инициативе Думы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принимается с учетом требований, указанных в пункте 3.</w:t>
      </w:r>
      <w:r w:rsidR="0099577A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Положения.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BE6AC6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Организация проведения собрания, конференции по инициативе </w:t>
      </w:r>
      <w:r w:rsidR="001F7FD1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эра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район», а также подготовка соответствующего постановления осуществляются администрацией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</w:t>
      </w:r>
      <w:r w:rsidR="001F7FD1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эра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="0099577A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назначении собрания, конференции граждан издается с учетом требований, указанных в пункте 3.</w:t>
      </w:r>
      <w:r w:rsidR="0099577A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Положения.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BE6AC6"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После принятия решения о назначении собрания, конференции инициативная группа по проведению собрания, конференции не позднее, чем за 10 дней извещает жителей территории, на которой назначено проведение собрания, конференции, о дате, месте проведения собрания, конференции и собраний по выборам делегатов конференции, а также вопросах, которые выносятся на обсуждение населения.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Порядок проведения собрания граждан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Для проведения собрания граждан орган, принявший решение о проведении собрания, подбирает помещение, приспособленное для 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проведения собрания. Инициативная группа перед началом собрания обеспечивает регистрацию его участников.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4.2. Собрание граждан правомочно, если в нем принимает участие не менее половины жителей соответствующей территории, имеющих право на участие в собрании.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Собрание открывает уполномоченный представитель инициативной группы по проведению собрания, который сообщает основания проведения собрания и подтверждает его правомочность.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ведения собрания большинством голосов участников собрания открытым голосованием избираются председатель и секретарь собрания, президиум собрания. В таком же порядке утверждаются повестка дня и регламент собрания.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Для подсчета голосов из числа участников собрания избирается счетная комиссия.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 Секретарь собрания ведет протокол собрания, записывает краткое содержание выступлений по рассматриваемому вопросу (вопросам), принятое решение.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 Проект решения зачитывается председателем собрания. Решение считается принятым, если за него проголосовало простое большинство зарегистрированных участников собрания. Решение собрания подписывается председателем и секретарем собрания.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Порядок избрания делегатов конференции и проведения конференции граждан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Выборы делегатов конференции проводятся на собраниях граждан в соответствии с нормой представительства, установленной настоящим Положением.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По решению инициативной группы по проведению конференции выдвижение и выборы делегатов конференции могут проходить в форме сбора подписей граждан, имеющих право участвовать в конференции.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По инициативе граждан, от которых выдвигается делегат конференции в соответствии с установленной нормой представительства, предлагаемая кандидатура вносится в подписной лист (приложение N 2 к настоящему Положению). Граждане, поддерживающие эту кандидатуру, расписываются в подписном листе. Если возникает альтернативная кандидатура, то в таком же порядке заполняется другой подписной лист.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 Выборы считаются состоявшимися, если в голосовании приняли участие не менее половины граждан, имеющих право участвовать в конференции от территории, на которой проводятся выборы делегатов конференции, и большинство из них поддержало выдвинутую кандидатуру. Если выдвинуто несколько кандидатов в делегаты конференции, то избранным считается кандидат, набравший наибольшее число голосов от числа граждан, принявших участие в голосовании.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5.5. Списочный состав конференции формируется инициаторами на основании протоколов собраний граждан по выборам делегатов конференции или по подписным листам.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5.6. Для проведения конференции орган, принявший решение о проведении конференции, подбирает помещение, приспособленное для ее проведения. 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5.7. Конференция правомочна, если в ней приняли участие не менее двух третей избранных на собраниях граждан делегатов конференции, представляющих не менее половины жителей соответствующей территории, имеющих право на участие в собрании и письменно уполномоченных для участия в конференции.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5.8. Конференция проводится в соответствии с регламентом, утверждаемым ее делегатами.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5.9. Проект решения зачитывается председателем конференции. Решение конференции считается принятым, если за него проголосовало простое большинство делегатов конференции. Решение конференции подписывается председателем и секретарем конференции.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 Решения собрания, конференции граждан</w:t>
      </w: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>6.1. По итогам собрания, конференции принимается соответствующее решение. Решение собрания принимается большинством голосов граждан, присутствующих на собрании. Решение конференции принимается большинством голосов делегатов, присутствующих на конференции.</w:t>
      </w: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 xml:space="preserve">6.2. Собрание, конференция граждан могут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самоуправления. </w:t>
      </w: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 xml:space="preserve">6.3. Обращения, принятые собранием, конференцией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порядке и сроки, которые установлены действующим законодательством. </w:t>
      </w: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 xml:space="preserve">6.4. Решение собрания, конференции граждан носит рекомендательный характер. </w:t>
      </w: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20A">
        <w:rPr>
          <w:rFonts w:ascii="Times New Roman" w:hAnsi="Times New Roman" w:cs="Times New Roman"/>
          <w:sz w:val="28"/>
          <w:szCs w:val="28"/>
        </w:rPr>
        <w:t xml:space="preserve">6.5. Итоги собрания, конференции граждан подлежат </w:t>
      </w:r>
      <w:r w:rsidRPr="0038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 </w:t>
      </w:r>
      <w:r w:rsidRPr="0038220A">
        <w:rPr>
          <w:rFonts w:ascii="Times New Roman" w:hAnsi="Times New Roman" w:cs="Times New Roman"/>
          <w:sz w:val="28"/>
          <w:szCs w:val="28"/>
          <w:shd w:val="clear" w:color="auto" w:fill="FFFFFF"/>
        </w:rPr>
        <w:t>(обнародованию)</w:t>
      </w:r>
      <w:r w:rsidRPr="0038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</w:t>
      </w:r>
      <w:proofErr w:type="spellStart"/>
      <w:r w:rsidRPr="0038220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3311DB" w:rsidRPr="0038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14 дней со дня его принятия</w:t>
      </w:r>
      <w:r w:rsidRPr="00382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575" w:rsidRPr="0038220A" w:rsidRDefault="001F4575" w:rsidP="00B04DB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6.6. Решение собрания, конференции не может нарушать имущественные и иные права организаций, граждан, собственников помещений в жилых домах.</w:t>
      </w: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7. Финансирование проведения собрания, конференции граждан</w:t>
      </w: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7.1. Расходы, связанные с подготовкой и проведением собрания, конференции, производятся за счет инициатора проведения собрания, конференции либо за счет районного бюджета, если организаторами проведения собрания, конференции выступают Дума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или Мэр муниципального образования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район».</w:t>
      </w: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575" w:rsidRDefault="001F4575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220A" w:rsidRPr="0038220A" w:rsidRDefault="0038220A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575" w:rsidRPr="0038220A" w:rsidRDefault="001F4575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575" w:rsidRPr="00EE26BA" w:rsidRDefault="001F4575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Приложение N 1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 о порядке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назначения и проведения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собраний и конференций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(собраний делегатов) граждан в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муниципальном образовании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132"/>
        <w:gridCol w:w="1472"/>
        <w:gridCol w:w="1315"/>
        <w:gridCol w:w="1586"/>
        <w:gridCol w:w="2302"/>
      </w:tblGrid>
      <w:tr w:rsidR="000574C7" w:rsidRPr="0038220A" w:rsidTr="00C750F5">
        <w:trPr>
          <w:trHeight w:val="15"/>
        </w:trPr>
        <w:tc>
          <w:tcPr>
            <w:tcW w:w="709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C7" w:rsidRPr="0038220A" w:rsidRDefault="000574C7" w:rsidP="00B04D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C7" w:rsidRPr="0038220A" w:rsidRDefault="000574C7" w:rsidP="00B04D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ПОДПИСНОЙ ЛИСТ</w:t>
            </w: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заявлению о проведении собрания (конференции) граждан</w:t>
            </w: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"____" ________________ 200____ г.</w:t>
            </w: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574C7" w:rsidRPr="0038220A" w:rsidTr="00C750F5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нижеподписавшиеся, поддерживаем инициаторов проведения собрания (конференции) граждан по вопросу</w:t>
            </w:r>
          </w:p>
        </w:tc>
      </w:tr>
      <w:tr w:rsidR="000574C7" w:rsidRPr="0038220A" w:rsidTr="00C750F5">
        <w:tc>
          <w:tcPr>
            <w:tcW w:w="97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c>
          <w:tcPr>
            <w:tcW w:w="97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574C7" w:rsidRPr="0038220A" w:rsidRDefault="005E3FCD" w:rsidP="00B04DB0">
            <w:pPr>
              <w:spacing w:after="0" w:line="240" w:lineRule="auto"/>
              <w:ind w:right="-12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паспорта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и дата ее внесения</w:t>
            </w:r>
          </w:p>
        </w:tc>
      </w:tr>
      <w:tr w:rsidR="000574C7" w:rsidRPr="0038220A" w:rsidTr="00C750F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rPr>
          <w:trHeight w:val="4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rPr>
          <w:trHeight w:val="3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C750F5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Подписной лист удостоверяю:</w:t>
            </w:r>
          </w:p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C750F5">
        <w:tc>
          <w:tcPr>
            <w:tcW w:w="97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C750F5">
        <w:tc>
          <w:tcPr>
            <w:tcW w:w="978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адрес места жительства, серия и номер паспорта лица, осуществляющего сбор подписей, дата подписания)</w:t>
            </w:r>
          </w:p>
        </w:tc>
      </w:tr>
      <w:tr w:rsidR="000574C7" w:rsidRPr="00EE26BA" w:rsidTr="00C750F5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C7" w:rsidRPr="0038220A" w:rsidRDefault="000574C7" w:rsidP="00B04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 инициативной группы по проведению собрания (конференции) граждан</w:t>
            </w:r>
          </w:p>
          <w:p w:rsidR="000574C7" w:rsidRPr="0038220A" w:rsidRDefault="000574C7" w:rsidP="00B04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C750F5">
        <w:tc>
          <w:tcPr>
            <w:tcW w:w="97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C750F5">
        <w:tc>
          <w:tcPr>
            <w:tcW w:w="9781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адрес места жительства, серия и номер паспорта уполномоченного представителя инициативной группы и дата подписания)</w:t>
            </w: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2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 о порядке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назначения и проведения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собраний и конференций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(собраний делегатов) граждан</w:t>
      </w: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муниципальном образовании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Эхирит-Булагатский</w:t>
      </w:r>
      <w:proofErr w:type="spellEnd"/>
      <w:r w:rsidRPr="0038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74C7" w:rsidRPr="0038220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32"/>
        <w:gridCol w:w="1638"/>
        <w:gridCol w:w="1565"/>
        <w:gridCol w:w="1503"/>
        <w:gridCol w:w="1840"/>
      </w:tblGrid>
      <w:tr w:rsidR="000574C7" w:rsidRPr="0038220A" w:rsidTr="005E3FCD">
        <w:trPr>
          <w:trHeight w:val="136"/>
        </w:trPr>
        <w:tc>
          <w:tcPr>
            <w:tcW w:w="677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38220A" w:rsidTr="005E3FCD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ПОДПИСНОЙ ЛИСТ</w:t>
            </w: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выборе делегатов на конференцию граждан</w:t>
            </w: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территории </w:t>
            </w:r>
            <w:r w:rsidRPr="003822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574C7" w:rsidRPr="0038220A" w:rsidRDefault="000574C7" w:rsidP="00B04DB0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</w:t>
            </w:r>
            <w:proofErr w:type="spellStart"/>
            <w:r w:rsidRPr="003822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3822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район»</w:t>
            </w: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74C7" w:rsidRPr="0038220A" w:rsidRDefault="000574C7" w:rsidP="00B04D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2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территория, ее границы:</w:t>
            </w:r>
            <w:proofErr w:type="gramEnd"/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подъезд, дом, улица, квартал и др.)</w:t>
            </w:r>
          </w:p>
          <w:p w:rsidR="000574C7" w:rsidRPr="00EE26BA" w:rsidRDefault="000574C7" w:rsidP="00B04DB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нижеподписавшиеся, поддерживаем выдвижение делегатом </w:t>
            </w: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rPr>
          <w:trHeight w:val="705"/>
        </w:trPr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2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(указываются фамилия, имя и отчество, дата рождения, адрес места жительства, серия и номер, дата выдачи </w:t>
            </w:r>
            <w:proofErr w:type="gramEnd"/>
          </w:p>
          <w:p w:rsidR="000574C7" w:rsidRPr="00EE26BA" w:rsidRDefault="000574C7" w:rsidP="00B04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паспорта, год рождения)</w:t>
            </w:r>
          </w:p>
          <w:p w:rsidR="000574C7" w:rsidRPr="00EE26BA" w:rsidRDefault="000574C7" w:rsidP="00B04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конференцию граждан по вопросу: </w:t>
            </w: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rPr>
          <w:trHeight w:val="96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1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паспорта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hanging="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и дата ее внесения</w:t>
            </w:r>
          </w:p>
        </w:tc>
      </w:tr>
      <w:tr w:rsidR="000574C7" w:rsidRPr="00EE26BA" w:rsidTr="005E3FCD">
        <w:trPr>
          <w:trHeight w:val="40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rPr>
          <w:trHeight w:val="38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rPr>
          <w:trHeight w:val="51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rPr>
          <w:trHeight w:val="41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38220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Подписной лист удостоверяю:</w:t>
            </w:r>
          </w:p>
          <w:p w:rsidR="000574C7" w:rsidRPr="00C750F5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адрес места жительства, серия и номер паспорта лица, осуществляющего сбор подписей, дата подписания)</w:t>
            </w: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представитель инициативной группы по проведению собрания (конференции) граждан</w:t>
            </w:r>
            <w:r w:rsidRPr="00C750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r w:rsidRPr="00EE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C7" w:rsidRPr="00EE26BA" w:rsidTr="005E3FCD">
        <w:tc>
          <w:tcPr>
            <w:tcW w:w="93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74C7" w:rsidRPr="00EE26BA" w:rsidRDefault="000574C7" w:rsidP="00B04DB0">
            <w:pPr>
              <w:spacing w:after="0" w:line="240" w:lineRule="auto"/>
              <w:ind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6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адрес места жительства, серия и номер паспорта уполномоченного представителя инициативной группы и дата подписания)</w:t>
            </w:r>
          </w:p>
        </w:tc>
      </w:tr>
    </w:tbl>
    <w:p w:rsidR="000574C7" w:rsidRPr="00EE26BA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E26BA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C750F5" w:rsidRDefault="000574C7" w:rsidP="00B04D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26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sectPr w:rsidR="00C750F5" w:rsidSect="0038220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4822"/>
    <w:multiLevelType w:val="hybridMultilevel"/>
    <w:tmpl w:val="1FECF844"/>
    <w:lvl w:ilvl="0" w:tplc="040C8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A606C"/>
    <w:multiLevelType w:val="hybridMultilevel"/>
    <w:tmpl w:val="C9F8D220"/>
    <w:lvl w:ilvl="0" w:tplc="A398A5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C7"/>
    <w:rsid w:val="000574C7"/>
    <w:rsid w:val="00151278"/>
    <w:rsid w:val="001731B9"/>
    <w:rsid w:val="001F4575"/>
    <w:rsid w:val="001F7FD1"/>
    <w:rsid w:val="00223324"/>
    <w:rsid w:val="003311DB"/>
    <w:rsid w:val="00342C49"/>
    <w:rsid w:val="0038220A"/>
    <w:rsid w:val="003C6820"/>
    <w:rsid w:val="003E391F"/>
    <w:rsid w:val="005438E8"/>
    <w:rsid w:val="005E3FCD"/>
    <w:rsid w:val="00634DD3"/>
    <w:rsid w:val="00705207"/>
    <w:rsid w:val="007A1971"/>
    <w:rsid w:val="008802A7"/>
    <w:rsid w:val="0099577A"/>
    <w:rsid w:val="00A726F4"/>
    <w:rsid w:val="00A84E2E"/>
    <w:rsid w:val="00B04DB0"/>
    <w:rsid w:val="00BE6AC6"/>
    <w:rsid w:val="00C750F5"/>
    <w:rsid w:val="00D03F49"/>
    <w:rsid w:val="00E677CE"/>
    <w:rsid w:val="00F6084C"/>
    <w:rsid w:val="00F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0280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76E7-B94E-40C0-89FE-DBD9E606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2017-07-26T07:56:00Z</cp:lastPrinted>
  <dcterms:created xsi:type="dcterms:W3CDTF">2017-07-21T07:40:00Z</dcterms:created>
  <dcterms:modified xsi:type="dcterms:W3CDTF">2017-07-26T07:56:00Z</dcterms:modified>
</cp:coreProperties>
</file>