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«ЭХИРИТ-БУЛАГАТСКИЙ РАЙОН»</w:t>
      </w:r>
    </w:p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</w:t>
      </w:r>
    </w:p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2B81" w:rsidRPr="00DC6A4F" w:rsidRDefault="003D2B81" w:rsidP="003D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ноября 2023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C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п. Усть-Ордынский</w:t>
      </w:r>
    </w:p>
    <w:p w:rsidR="0078020B" w:rsidRPr="00C20316" w:rsidRDefault="003D2B81" w:rsidP="003D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78020B" w:rsidRPr="00C2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схемы четырех многомандатных избирательных округов для проведения выборов депутатов Думы муниципального образования «</w:t>
      </w:r>
      <w:proofErr w:type="spellStart"/>
      <w:r w:rsidR="0078020B" w:rsidRPr="00C2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="0078020B" w:rsidRPr="00C2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78020B" w:rsidRPr="00C20316" w:rsidRDefault="0078020B" w:rsidP="007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020B" w:rsidRPr="00C20316" w:rsidRDefault="0078020B" w:rsidP="0078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18 Федерального закона № 67-ФЗ от 12.06.2002 года «Об основных гарантиях избирательных прав и права на участие в референдуме граждан Российской Федерации» и ст. 25,26,27 Закона Иркутской области № 116-ОЗ от 11.11.2011 года «О муниципальных выборах в Иркутской области», руководствуясь с. 24 Устава муниципального образования «</w:t>
      </w:r>
      <w:proofErr w:type="spellStart"/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Дума</w:t>
      </w:r>
    </w:p>
    <w:p w:rsidR="00806CA8" w:rsidRDefault="00806CA8" w:rsidP="007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20B" w:rsidRPr="00C20316" w:rsidRDefault="0078020B" w:rsidP="007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8020B" w:rsidRPr="00C20316" w:rsidRDefault="0078020B" w:rsidP="007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0B" w:rsidRPr="00C20316" w:rsidRDefault="0078020B" w:rsidP="007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схему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многомандатных избирательных округов для проведения выборов депутатов Думы муниципального образования «</w:t>
      </w:r>
      <w:proofErr w:type="spellStart"/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2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(приложение № 1).</w:t>
      </w:r>
    </w:p>
    <w:p w:rsidR="0078020B" w:rsidRPr="00C20316" w:rsidRDefault="0078020B" w:rsidP="007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0B" w:rsidRPr="00C20316" w:rsidRDefault="0078020B" w:rsidP="007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0B" w:rsidRPr="00C20316" w:rsidRDefault="0078020B" w:rsidP="007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71"/>
      </w:tblGrid>
      <w:tr w:rsidR="0078020B" w:rsidRPr="00F2653E" w:rsidTr="00D954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муниципального образования </w:t>
            </w:r>
          </w:p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муниципального образования «</w:t>
            </w:r>
            <w:proofErr w:type="spellStart"/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Б.А.Мантагуев</w:t>
            </w:r>
            <w:proofErr w:type="spellEnd"/>
          </w:p>
          <w:p w:rsidR="0078020B" w:rsidRPr="00F2653E" w:rsidRDefault="0078020B" w:rsidP="00D9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0B" w:rsidRPr="00C20316" w:rsidRDefault="0078020B" w:rsidP="007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020B" w:rsidRPr="00C20316" w:rsidSect="00C20316">
          <w:pgSz w:w="11907" w:h="16840" w:code="9"/>
          <w:pgMar w:top="1134" w:right="850" w:bottom="1134" w:left="1701" w:header="720" w:footer="720" w:gutter="0"/>
          <w:paperSrc w:other="14"/>
          <w:cols w:space="708"/>
          <w:noEndnote/>
          <w:docGrid w:linePitch="299"/>
        </w:sectPr>
      </w:pPr>
    </w:p>
    <w:p w:rsidR="0078020B" w:rsidRPr="00C20316" w:rsidRDefault="0078020B" w:rsidP="007802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 w:rsidRPr="00C20316">
        <w:rPr>
          <w:rFonts w:ascii="Times New Roman" w:eastAsia="Calibri" w:hAnsi="Times New Roman" w:cs="Times New Roman"/>
          <w:b/>
          <w:bCs/>
          <w:lang w:eastAsia="ru-RU"/>
        </w:rPr>
        <w:lastRenderedPageBreak/>
        <w:t xml:space="preserve">Приложение № 1 </w:t>
      </w:r>
    </w:p>
    <w:p w:rsidR="0078020B" w:rsidRPr="00C20316" w:rsidRDefault="0078020B" w:rsidP="007802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 w:rsidRPr="00C20316">
        <w:rPr>
          <w:rFonts w:ascii="Times New Roman" w:eastAsia="Calibri" w:hAnsi="Times New Roman" w:cs="Times New Roman"/>
          <w:b/>
          <w:bCs/>
          <w:lang w:eastAsia="ru-RU"/>
        </w:rPr>
        <w:t xml:space="preserve">к Решению Думы МО </w:t>
      </w:r>
    </w:p>
    <w:p w:rsidR="0078020B" w:rsidRPr="00C20316" w:rsidRDefault="0078020B" w:rsidP="007802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 w:rsidRPr="00C20316">
        <w:rPr>
          <w:rFonts w:ascii="Times New Roman" w:eastAsia="Calibri" w:hAnsi="Times New Roman" w:cs="Times New Roman"/>
          <w:b/>
          <w:bCs/>
          <w:lang w:eastAsia="ru-RU"/>
        </w:rPr>
        <w:t>«</w:t>
      </w:r>
      <w:proofErr w:type="spellStart"/>
      <w:r w:rsidRPr="00C20316">
        <w:rPr>
          <w:rFonts w:ascii="Times New Roman" w:eastAsia="Calibri" w:hAnsi="Times New Roman" w:cs="Times New Roman"/>
          <w:b/>
          <w:bCs/>
          <w:lang w:eastAsia="ru-RU"/>
        </w:rPr>
        <w:t>Эхирит-Булагатский</w:t>
      </w:r>
      <w:proofErr w:type="spellEnd"/>
      <w:r w:rsidRPr="00C20316">
        <w:rPr>
          <w:rFonts w:ascii="Times New Roman" w:eastAsia="Calibri" w:hAnsi="Times New Roman" w:cs="Times New Roman"/>
          <w:b/>
          <w:bCs/>
          <w:lang w:eastAsia="ru-RU"/>
        </w:rPr>
        <w:t xml:space="preserve"> район»</w:t>
      </w:r>
    </w:p>
    <w:p w:rsidR="0078020B" w:rsidRPr="00C20316" w:rsidRDefault="0078020B" w:rsidP="007802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0316">
        <w:rPr>
          <w:rFonts w:ascii="Times New Roman" w:eastAsia="Calibri" w:hAnsi="Times New Roman" w:cs="Times New Roman"/>
          <w:b/>
          <w:bCs/>
          <w:lang w:eastAsia="ru-RU"/>
        </w:rPr>
        <w:t xml:space="preserve">№ </w:t>
      </w:r>
      <w:r w:rsidR="00903C7F">
        <w:rPr>
          <w:rFonts w:ascii="Times New Roman" w:eastAsia="Calibri" w:hAnsi="Times New Roman" w:cs="Times New Roman"/>
          <w:b/>
          <w:bCs/>
          <w:lang w:eastAsia="ru-RU"/>
        </w:rPr>
        <w:t>_</w:t>
      </w:r>
      <w:r w:rsidR="003D2B81">
        <w:rPr>
          <w:rFonts w:ascii="Times New Roman" w:eastAsia="Calibri" w:hAnsi="Times New Roman" w:cs="Times New Roman"/>
          <w:b/>
          <w:bCs/>
          <w:lang w:eastAsia="ru-RU"/>
        </w:rPr>
        <w:t>261</w:t>
      </w:r>
      <w:r w:rsidR="00903C7F">
        <w:rPr>
          <w:rFonts w:ascii="Times New Roman" w:eastAsia="Calibri" w:hAnsi="Times New Roman" w:cs="Times New Roman"/>
          <w:b/>
          <w:bCs/>
          <w:lang w:eastAsia="ru-RU"/>
        </w:rPr>
        <w:t>_</w:t>
      </w:r>
      <w:r w:rsidRPr="00C20316">
        <w:rPr>
          <w:rFonts w:ascii="Times New Roman" w:eastAsia="Calibri" w:hAnsi="Times New Roman" w:cs="Times New Roman"/>
          <w:b/>
          <w:bCs/>
          <w:lang w:eastAsia="ru-RU"/>
        </w:rPr>
        <w:t xml:space="preserve"> от </w:t>
      </w:r>
      <w:r w:rsidR="003D2B81">
        <w:rPr>
          <w:rFonts w:ascii="Times New Roman" w:eastAsia="Calibri" w:hAnsi="Times New Roman" w:cs="Times New Roman"/>
          <w:b/>
          <w:bCs/>
          <w:lang w:eastAsia="ru-RU"/>
        </w:rPr>
        <w:t>29.11.2023</w:t>
      </w:r>
      <w:bookmarkStart w:id="0" w:name="_GoBack"/>
      <w:bookmarkEnd w:id="0"/>
    </w:p>
    <w:p w:rsidR="0078020B" w:rsidRPr="00C20316" w:rsidRDefault="0078020B" w:rsidP="00780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0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СХЕМА</w:t>
      </w:r>
    </w:p>
    <w:p w:rsidR="0078020B" w:rsidRPr="00C20316" w:rsidRDefault="0078020B" w:rsidP="00780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четырех </w:t>
      </w:r>
      <w:r w:rsidRPr="00C20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многомандатных избирательных округов для проведения</w:t>
      </w:r>
    </w:p>
    <w:p w:rsidR="0078020B" w:rsidRPr="00C20316" w:rsidRDefault="0078020B" w:rsidP="00780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0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выборов депутатов Думы муниципального образования «</w:t>
      </w:r>
      <w:proofErr w:type="spellStart"/>
      <w:r w:rsidRPr="00C20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C203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tbl>
      <w:tblPr>
        <w:tblStyle w:val="a4"/>
        <w:tblW w:w="16195" w:type="dxa"/>
        <w:tblInd w:w="-856" w:type="dxa"/>
        <w:tblLook w:val="04A0" w:firstRow="1" w:lastRow="0" w:firstColumn="1" w:lastColumn="0" w:noHBand="0" w:noVBand="1"/>
      </w:tblPr>
      <w:tblGrid>
        <w:gridCol w:w="2126"/>
        <w:gridCol w:w="1491"/>
        <w:gridCol w:w="1230"/>
        <w:gridCol w:w="8279"/>
        <w:gridCol w:w="1561"/>
        <w:gridCol w:w="1508"/>
      </w:tblGrid>
      <w:tr w:rsidR="00471ACF" w:rsidRPr="0078020B" w:rsidTr="00497630">
        <w:trPr>
          <w:trHeight w:val="16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Наименование</w:t>
            </w: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муниципального</w:t>
            </w:r>
          </w:p>
          <w:p w:rsidR="0078020B" w:rsidRPr="0078020B" w:rsidRDefault="0078020B" w:rsidP="0078020B">
            <w:pPr>
              <w:tabs>
                <w:tab w:val="left" w:pos="1624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образования / количество избирателей в МО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Избиратель</w:t>
            </w: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ного</w:t>
            </w:r>
            <w:proofErr w:type="spellEnd"/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округа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Кол-во</w:t>
            </w: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мандатов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Число</w:t>
            </w: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избирателей в </w:t>
            </w: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округе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Место нахождения</w:t>
            </w:r>
          </w:p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ОИК</w:t>
            </w:r>
          </w:p>
        </w:tc>
      </w:tr>
      <w:tr w:rsidR="00903C7F" w:rsidRPr="0078020B" w:rsidTr="00497630">
        <w:trPr>
          <w:trHeight w:val="8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0B" w:rsidRPr="0078020B" w:rsidRDefault="0078020B" w:rsidP="00497630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8020B">
              <w:rPr>
                <w:rFonts w:ascii="Times New Roman" w:eastAsia="Times New Roman" w:hAnsi="Times New Roman" w:cs="Times New Roman"/>
                <w:kern w:val="2"/>
              </w:rPr>
              <w:t>Муниципальное образование «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kern w:val="2"/>
              </w:rPr>
              <w:t>Эхирит-Булагатский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kern w:val="2"/>
              </w:rPr>
              <w:t xml:space="preserve">     район»/ 23917</w:t>
            </w:r>
          </w:p>
          <w:p w:rsidR="0078020B" w:rsidRPr="0078020B" w:rsidRDefault="0078020B" w:rsidP="0078020B">
            <w:pPr>
              <w:tabs>
                <w:tab w:val="left" w:pos="1624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089"/>
              </w:tabs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0B" w:rsidRPr="0078020B" w:rsidRDefault="0078020B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0B" w:rsidRPr="0078020B" w:rsidRDefault="0078020B" w:rsidP="00903C7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0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Улицы: Л</w:t>
            </w:r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с №8А   по №32 дом; ул. Горького четная сторона с №2 по №48, нечетная сторона с №1 по №47; ул. Ватутина  четная сторона с  №54 до конца , нечетная сторона  с №53  до конца;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ул.Балтахинова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 №46 ,нечетная сторона №3 по №45;ул.Калинина четная сторона с №2 по №56,нечетная сторона с №1 по №43 дом;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ул.Доржи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 четная сторона с  №40 до конца, нечетная сторона№41 до конца;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ул.Ровинского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 №30, нечетная сторона с №1 по №17;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по№52, нечетная сторона с № 1 по №41А; ул.50 лет Октября четная сторона с №2 по №18, нечетная сторона с №1 по №17; 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Коммунальный переулок,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№2 по №62, нечетная сторона с №1 по №75;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Маслозавода площадь,  ЛПХ площадь;</w:t>
            </w:r>
            <w:r w:rsidRPr="0078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20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улицы: </w:t>
            </w:r>
            <w:proofErr w:type="spellStart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>Балдынова</w:t>
            </w:r>
            <w:proofErr w:type="spellEnd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 xml:space="preserve">, ДЭУ, Интернациональная, 2-ая Интернациональная, Каландаришвили, Комплексная, Конно-спортивная школа, </w:t>
            </w:r>
            <w:proofErr w:type="spellStart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78020B">
              <w:rPr>
                <w:rFonts w:ascii="Times New Roman" w:hAnsi="Times New Roman" w:cs="Times New Roman"/>
                <w:sz w:val="24"/>
                <w:szCs w:val="24"/>
              </w:rPr>
              <w:t xml:space="preserve">, Малеева, Пушкина, Советская, Школьная, </w:t>
            </w:r>
            <w:r w:rsidRPr="00780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Болотная, Береговая, Речная,</w:t>
            </w:r>
            <w:r w:rsidRPr="0078020B">
              <w:rPr>
                <w:rFonts w:ascii="Times New Roman" w:hAnsi="Times New Roman" w:cs="Times New Roman"/>
                <w:sz w:val="24"/>
                <w:szCs w:val="24"/>
              </w:rPr>
              <w:t xml:space="preserve"> переулки: Пролетарский, Клубный; улицы: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ул.Хангалова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№24 по №32 ( бывший №14),нечетная сторона с №17 по №43 (бывший № 29);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 №42, нечетная сторона с №1 по №29;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ул.Ватутина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 №52, нечетная сторона с №1 по №51;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ул.Доржи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 четная сторона с №2 по №38, нечетная сторона с №1 по №39;ул.Тимирязева четная сторона  с №2 по №18, нечетная сторона с №1 по №15,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ул.Чумакова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 №20, нечетная сторона с №1 по №7,  переулки Тимирязева, Целинный, 1 Октябрьский, 2 Октябрьский, Комсомольский; Суворова; улицы: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№64 до конца, нечетная сторона №77 до конца;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№44 до конца, нечетная сторона с</w:t>
            </w:r>
          </w:p>
        </w:tc>
        <w:tc>
          <w:tcPr>
            <w:tcW w:w="1561" w:type="dxa"/>
          </w:tcPr>
          <w:p w:rsidR="0078020B" w:rsidRPr="0078020B" w:rsidRDefault="0078020B" w:rsidP="0078020B">
            <w:pPr>
              <w:jc w:val="center"/>
              <w:rPr>
                <w:b/>
                <w:i/>
              </w:rPr>
            </w:pPr>
            <w:r w:rsidRPr="0078020B">
              <w:rPr>
                <w:b/>
              </w:rPr>
              <w:t>6351</w:t>
            </w:r>
          </w:p>
        </w:tc>
        <w:tc>
          <w:tcPr>
            <w:tcW w:w="1508" w:type="dxa"/>
          </w:tcPr>
          <w:p w:rsidR="00471ACF" w:rsidRPr="00471ACF" w:rsidRDefault="00471ACF" w:rsidP="00471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CF">
              <w:rPr>
                <w:rFonts w:ascii="Times New Roman" w:eastAsia="Times New Roman" w:hAnsi="Times New Roman" w:cs="Times New Roman"/>
                <w:lang w:eastAsia="ru-RU"/>
              </w:rPr>
              <w:t>669001,</w:t>
            </w:r>
          </w:p>
          <w:p w:rsidR="00471ACF" w:rsidRPr="00471ACF" w:rsidRDefault="00471ACF" w:rsidP="00471ACF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napToGrid w:val="0"/>
                <w:kern w:val="2"/>
                <w:lang w:eastAsia="ru-RU"/>
              </w:rPr>
            </w:pPr>
            <w:r w:rsidRPr="00471ACF">
              <w:rPr>
                <w:rFonts w:ascii="Times New Roman" w:eastAsia="Times New Roman" w:hAnsi="Times New Roman" w:cs="Times New Roman"/>
                <w:snapToGrid w:val="0"/>
                <w:kern w:val="2"/>
                <w:lang w:eastAsia="ru-RU"/>
              </w:rPr>
              <w:t>Иркутская</w:t>
            </w:r>
          </w:p>
          <w:p w:rsidR="00471ACF" w:rsidRPr="00471ACF" w:rsidRDefault="00471ACF" w:rsidP="00471ACF">
            <w:pPr>
              <w:tabs>
                <w:tab w:val="left" w:pos="1624"/>
              </w:tabs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71ACF">
              <w:rPr>
                <w:rFonts w:ascii="Times New Roman" w:eastAsia="Times New Roman" w:hAnsi="Times New Roman" w:cs="Times New Roman"/>
                <w:snapToGrid w:val="0"/>
                <w:kern w:val="2"/>
                <w:lang w:eastAsia="ru-RU"/>
              </w:rPr>
              <w:t xml:space="preserve">область, </w:t>
            </w:r>
            <w:proofErr w:type="spellStart"/>
            <w:r w:rsidRPr="00471ACF">
              <w:rPr>
                <w:rFonts w:ascii="Times New Roman" w:eastAsia="Times New Roman" w:hAnsi="Times New Roman" w:cs="Times New Roman"/>
                <w:snapToGrid w:val="0"/>
                <w:kern w:val="2"/>
                <w:lang w:eastAsia="ru-RU"/>
              </w:rPr>
              <w:t>Эхирит-Булагатский</w:t>
            </w:r>
            <w:proofErr w:type="spellEnd"/>
            <w:r w:rsidRPr="00471ACF">
              <w:rPr>
                <w:rFonts w:ascii="Times New Roman" w:eastAsia="Times New Roman" w:hAnsi="Times New Roman" w:cs="Times New Roman"/>
                <w:snapToGrid w:val="0"/>
                <w:kern w:val="2"/>
                <w:lang w:eastAsia="ru-RU"/>
              </w:rPr>
              <w:t xml:space="preserve"> район, </w:t>
            </w:r>
            <w:r w:rsidRPr="00471A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п. Усть-Ордынский,</w:t>
            </w:r>
          </w:p>
          <w:p w:rsidR="00471ACF" w:rsidRPr="00471ACF" w:rsidRDefault="00471ACF" w:rsidP="00471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C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Ватутина</w:t>
            </w:r>
            <w:r w:rsidRPr="00471A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71A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8020B" w:rsidRPr="0078020B" w:rsidRDefault="0078020B" w:rsidP="0078020B"/>
        </w:tc>
      </w:tr>
      <w:tr w:rsidR="00471ACF" w:rsidRPr="0078020B" w:rsidTr="00497630">
        <w:trPr>
          <w:trHeight w:val="447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Default="00471ACF" w:rsidP="0078020B">
            <w:pPr>
              <w:tabs>
                <w:tab w:val="left" w:pos="1624"/>
              </w:tabs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Default="00471ACF" w:rsidP="0078020B">
            <w:pPr>
              <w:tabs>
                <w:tab w:val="left" w:pos="1089"/>
              </w:tabs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Default="00471ACF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Default="00471ACF" w:rsidP="00903C7F">
            <w:pPr>
              <w:spacing w:after="12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 до конца;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ул.Хангалова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 №22, нечетная сторона с №1 по №15; улицы: 1 Северная, 2 Северная,3 Северная, 4 Северная, 5 Северная, Агрохимиков,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Аэропорта,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Бартурки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Бертагаева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Весенняя, Ворошилова, Восточная,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площадь, Жданова, Жукова, Ломоносова, Микрорайон,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Ордынская, Рабочая, Российская, Рютина,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Петонова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Свердлова, Совхоза площадь, Сосновая, Туполева, 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Чапаева, Чкалова, Шувалова, Юннатов станция, переулки: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Бертагаева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Дружбы, Совхозный, Южный, улицы и переулки на территории бывшего Аэропорта: Авиаторов,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Батагаева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Березовая,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Борисова, Братская,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Булагатская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Вертолетная,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Левченко,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Лухнева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Маншута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Имегеева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Мархеева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Окладникова, Петухова, Проспект Победы, Рябиновая, Сиреневая,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Тополинная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Цветочная,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Цыденжапова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Черемуховая,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Шаракшанэ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Эхиритская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пер.Авиаторов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пер.Еловый</w:t>
            </w:r>
            <w:proofErr w:type="spellEnd"/>
            <w:r w:rsidRPr="0078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пер.Кедровый</w:t>
            </w:r>
            <w:proofErr w:type="spellEnd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пер.Радужный</w:t>
            </w:r>
            <w:proofErr w:type="spellEnd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пер.Армейский</w:t>
            </w:r>
            <w:proofErr w:type="spellEnd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пер.Добрый</w:t>
            </w:r>
            <w:proofErr w:type="spellEnd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пер.Дубовый</w:t>
            </w:r>
            <w:proofErr w:type="spellEnd"/>
            <w:r w:rsidRPr="0090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</w:tcPr>
          <w:p w:rsidR="00471ACF" w:rsidRDefault="00471ACF" w:rsidP="0078020B">
            <w:pPr>
              <w:jc w:val="center"/>
              <w:rPr>
                <w:b/>
              </w:rPr>
            </w:pPr>
          </w:p>
        </w:tc>
        <w:tc>
          <w:tcPr>
            <w:tcW w:w="1508" w:type="dxa"/>
            <w:vMerge w:val="restart"/>
          </w:tcPr>
          <w:p w:rsidR="00471ACF" w:rsidRPr="0078020B" w:rsidRDefault="00471ACF" w:rsidP="0078020B"/>
        </w:tc>
      </w:tr>
      <w:tr w:rsidR="00471ACF" w:rsidRPr="0078020B" w:rsidTr="00497630">
        <w:trPr>
          <w:trHeight w:val="442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CF" w:rsidRDefault="00471ACF" w:rsidP="0078020B">
            <w:pPr>
              <w:tabs>
                <w:tab w:val="left" w:pos="1624"/>
              </w:tabs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Default="00471ACF" w:rsidP="0078020B">
            <w:pPr>
              <w:tabs>
                <w:tab w:val="left" w:pos="1089"/>
              </w:tabs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Default="00471ACF" w:rsidP="0078020B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Pr="00497630" w:rsidRDefault="00471ACF" w:rsidP="0049763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Кирова четная сторона с № 56,58, 60 (бывший № 58Г) до конца, нечетная сторона с № 43 до конца;  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Ербанова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№2 по №24, нечетная сторона №1 по №9; Ленина с №33 до конца; Мира четная сторона с №4 по №28,нечетная сторона с №1 по №9; Горького четная сторона с №50 (бывший №23 Механизаторов) до конца, нечетная сторона с №49  до конца; Тимирязева четная сторона №20 до конца, нечетная сторона №17 до конца; Чумакова четная сторона с №22 до конца ,нечетная сторона с №9 до конца; Хангалова четная сторона с №34 (бывший №16) до конца, нечетная сторона с №45 (бывший №31) до конца;  улицы: Астафьева, Армейская,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Балябина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Бориса Полевого, Вампилова, Гагарина, Депутатская, Есенина, Западная,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Луговая, Механизаторов,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Модогоева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Симонова,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Сибиданова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Содружества с №1 по №12, Толстого, Терешковой,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№2, №4, №6;  переулки Гаражный, Таежный, Степной.; Улицы:8 Марта четная сторона с №2 по №20,нечетная сторона №1 по №27;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Балтахинова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№48 до конца ,нечетная сторона с №47 до конца;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№58 до конца, нечетная сторона с №45 до конца;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ул.Ровинского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32 до конца, нечетная сторона с №17А до конца; ул.50 лет Октября четная сторона с №28 до конца, нечетная сторона с №19 до конца, улицы: 9 Мая, Александрова, Апанасенко, Аптечная, Быкова, Белобородова, Братьев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Бугушкиновых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Королева, Менделеева, Мичурина, Николаева, Некрасова, Подгорная, Садовникова,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Сайдукова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Светлая,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Томилова, Чайковского, Чехова, Фармацевтов, переулки: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Абаганатский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Солнечный, Пионерский, Центральный; улицы 8 Марта четная сторона с №22 до конца, нечетная сторона с №29 до конца ;переулок 8 Марта, ;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ул.Ербанова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</w:t>
            </w: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сторона №28 до конца, нечетная сторона с №11 до конца;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№30 до конца, нечетная сторона с №11 до конца; Содружества  с № 13 до конца,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№8 до конца, нечетная сторона  №1 до конца; улицы Ахматовой ( бывшая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№43,45,47,60,62), Байкальская, Басаргина, Буденного,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Волконского,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ул.Дачная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Дальневосточная, Дорожная, Иркутская, Кислородная, Комарова,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Комоликова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Курчатова, Лесная, Лермонтова, Миронова,  Мелиораторов, Молодежная, Московская, Новая, Полярная , Полевая, Пикуля, Романтиков, Садовая, Сибирская, Строителей,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Суборовой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Тирикова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Трубецкого, Трудовая, Транспортная , Юбилейная, Хамаганова, Энергетиков, Шолохова, Федосеева, ул.60 лет Округу,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М.Цветаевой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(бывшая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№68,66,70,72, 74, 78, 80),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Хандагайская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Горная, переулки: Ангарский, Звездный, Новый, Мира (Дачный), СОТ «Надежда» - улицы Кузнецова, Валентина Распутина, Сахаровского, Баранникова,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Хутанова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Манжуева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Агаркова, Осенняя, 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Сахьяновой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Плодовая, 1-я Проездная, 2-я Проездная.</w:t>
            </w:r>
          </w:p>
        </w:tc>
        <w:tc>
          <w:tcPr>
            <w:tcW w:w="1561" w:type="dxa"/>
          </w:tcPr>
          <w:p w:rsidR="00471ACF" w:rsidRDefault="00471ACF" w:rsidP="007802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7233</w:t>
            </w:r>
          </w:p>
        </w:tc>
        <w:tc>
          <w:tcPr>
            <w:tcW w:w="1508" w:type="dxa"/>
            <w:vMerge/>
          </w:tcPr>
          <w:p w:rsidR="00471ACF" w:rsidRPr="0078020B" w:rsidRDefault="00471ACF" w:rsidP="0078020B"/>
        </w:tc>
      </w:tr>
      <w:tr w:rsidR="00471ACF" w:rsidRPr="0078020B" w:rsidTr="00F452D2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CF" w:rsidRPr="0078020B" w:rsidRDefault="00471ACF" w:rsidP="00471AC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Pr="00497630" w:rsidRDefault="00471ACF" w:rsidP="00471ACF">
            <w:pPr>
              <w:tabs>
                <w:tab w:val="left" w:pos="1089"/>
              </w:tabs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Pr="00497630" w:rsidRDefault="00471ACF" w:rsidP="00471ACF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ACF" w:rsidRPr="00497630" w:rsidRDefault="00471ACF" w:rsidP="00471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Ахинское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вся территория</w:t>
            </w:r>
          </w:p>
          <w:p w:rsidR="00471ACF" w:rsidRPr="00497630" w:rsidRDefault="00471ACF" w:rsidP="00471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«Ново-Николаевское» - вся территория</w:t>
            </w:r>
          </w:p>
          <w:p w:rsidR="00471ACF" w:rsidRPr="00497630" w:rsidRDefault="00471ACF" w:rsidP="00471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Гаханское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вся территория</w:t>
            </w:r>
          </w:p>
          <w:p w:rsidR="00471ACF" w:rsidRPr="00497630" w:rsidRDefault="00471ACF" w:rsidP="00471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Харазаргайское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вся территория</w:t>
            </w:r>
          </w:p>
          <w:p w:rsidR="00471ACF" w:rsidRPr="00497630" w:rsidRDefault="00471ACF" w:rsidP="00471AC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Кулункунское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вся территория</w:t>
            </w:r>
          </w:p>
        </w:tc>
        <w:tc>
          <w:tcPr>
            <w:tcW w:w="1561" w:type="dxa"/>
          </w:tcPr>
          <w:p w:rsidR="00471ACF" w:rsidRPr="00497630" w:rsidRDefault="00471ACF" w:rsidP="0047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4540</w:t>
            </w:r>
          </w:p>
        </w:tc>
        <w:tc>
          <w:tcPr>
            <w:tcW w:w="1508" w:type="dxa"/>
            <w:vMerge/>
          </w:tcPr>
          <w:p w:rsidR="00471ACF" w:rsidRPr="0078020B" w:rsidRDefault="00471ACF" w:rsidP="00471ACF"/>
        </w:tc>
      </w:tr>
      <w:tr w:rsidR="00471ACF" w:rsidRPr="0078020B" w:rsidTr="00497630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ACF" w:rsidRPr="0078020B" w:rsidRDefault="00471ACF" w:rsidP="00471ACF"/>
        </w:tc>
        <w:tc>
          <w:tcPr>
            <w:tcW w:w="1491" w:type="dxa"/>
            <w:tcBorders>
              <w:left w:val="single" w:sz="4" w:space="0" w:color="auto"/>
            </w:tcBorders>
          </w:tcPr>
          <w:p w:rsidR="00471ACF" w:rsidRPr="0078020B" w:rsidRDefault="00471ACF" w:rsidP="0047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</w:tcPr>
          <w:p w:rsidR="00471ACF" w:rsidRPr="0078020B" w:rsidRDefault="00471ACF" w:rsidP="0047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79" w:type="dxa"/>
          </w:tcPr>
          <w:p w:rsidR="00471ACF" w:rsidRPr="00497630" w:rsidRDefault="00471ACF" w:rsidP="004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3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497630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Pr="00497630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D412E7" w:rsidRPr="00497630" w:rsidRDefault="00D412E7" w:rsidP="00D41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Захальское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вся территория</w:t>
            </w:r>
          </w:p>
          <w:p w:rsidR="00D412E7" w:rsidRPr="00497630" w:rsidRDefault="00D412E7" w:rsidP="00D41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Тугутуйское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вся территория</w:t>
            </w:r>
          </w:p>
          <w:p w:rsidR="00D412E7" w:rsidRDefault="00D412E7" w:rsidP="00D41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Алужинское</w:t>
            </w:r>
            <w:proofErr w:type="spellEnd"/>
            <w:r w:rsidRPr="0049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вся территория</w:t>
            </w:r>
          </w:p>
          <w:p w:rsidR="00D412E7" w:rsidRDefault="00D412E7" w:rsidP="00D4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вся территория </w:t>
            </w:r>
          </w:p>
          <w:p w:rsidR="00D412E7" w:rsidRDefault="00D412E7" w:rsidP="00D4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вся территория </w:t>
            </w:r>
          </w:p>
          <w:p w:rsidR="004A2C4A" w:rsidRPr="0078020B" w:rsidRDefault="00D412E7" w:rsidP="00D41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вся территория </w:t>
            </w:r>
          </w:p>
        </w:tc>
        <w:tc>
          <w:tcPr>
            <w:tcW w:w="1561" w:type="dxa"/>
          </w:tcPr>
          <w:p w:rsidR="00471ACF" w:rsidRPr="0078020B" w:rsidRDefault="00471ACF" w:rsidP="0047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5793</w:t>
            </w:r>
          </w:p>
        </w:tc>
        <w:tc>
          <w:tcPr>
            <w:tcW w:w="1508" w:type="dxa"/>
            <w:vMerge/>
          </w:tcPr>
          <w:p w:rsidR="00471ACF" w:rsidRPr="0078020B" w:rsidRDefault="00471ACF" w:rsidP="00471ACF"/>
        </w:tc>
      </w:tr>
    </w:tbl>
    <w:p w:rsidR="0078020B" w:rsidRPr="0078020B" w:rsidRDefault="0078020B" w:rsidP="0078020B">
      <w:pPr>
        <w:spacing w:after="0" w:line="240" w:lineRule="auto"/>
      </w:pPr>
    </w:p>
    <w:p w:rsidR="0078020B" w:rsidRDefault="0078020B"/>
    <w:sectPr w:rsidR="0078020B" w:rsidSect="00903C7F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0B"/>
    <w:rsid w:val="00307179"/>
    <w:rsid w:val="00343669"/>
    <w:rsid w:val="003D2B81"/>
    <w:rsid w:val="00471ACF"/>
    <w:rsid w:val="00497630"/>
    <w:rsid w:val="004A2C4A"/>
    <w:rsid w:val="0078020B"/>
    <w:rsid w:val="00806CA8"/>
    <w:rsid w:val="00903C7F"/>
    <w:rsid w:val="00D4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D551"/>
  <w15:chartTrackingRefBased/>
  <w15:docId w15:val="{6E89CD49-B733-4C9A-B850-F5A96AF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02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8020B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78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2023-11-21T06:59:00Z</dcterms:created>
  <dcterms:modified xsi:type="dcterms:W3CDTF">2023-11-30T09:35:00Z</dcterms:modified>
</cp:coreProperties>
</file>